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0" w:after="160"/>
      </w:pPr>
      <w:r>
        <w:rPr>
          <w:rFonts w:ascii="Arial" w:hAnsi="Arial"/>
          <w:b/>
          <w:i w:val="0"/>
          <w:color w:val="147D78"/>
          <w:sz w:val="17"/>
        </w:rPr>
        <w:t>PROPUESTA EJECUTIVA DE CONSULTORÍA</w:t>
      </w:r>
    </w:p>
    <w:p>
      <w:pPr>
        <w:pStyle w:val="Title"/>
      </w:pPr>
      <w:r>
        <w:t>Modernización inteligente de SIAEM y los servicios del DCCAE</w:t>
      </w:r>
    </w:p>
    <w:p>
      <w:pPr>
        <w:spacing w:after="280"/>
      </w:pPr>
      <w:r>
        <w:rPr>
          <w:rFonts w:ascii="Arial" w:hAnsi="Arial"/>
          <w:b w:val="0"/>
          <w:i w:val="0"/>
          <w:color w:val="5F6E78"/>
          <w:sz w:val="28"/>
        </w:rPr>
        <w:t>Diagnóstico, arquitectura y piloto gobernado con activos FALCONE y lecciones verificables del modelo público RUNT</w:t>
      </w:r>
    </w:p>
    <w:p>
      <w:pPr>
        <w:pStyle w:val="Heading1"/>
      </w:pPr>
      <w:r>
        <w:t>Decisión propuesta</w:t>
      </w:r>
    </w:p>
    <w:p>
      <w:pPr>
        <w:spacing w:after="140"/>
      </w:pPr>
      <w:r>
        <w:rPr>
          <w:rFonts w:ascii="Arial" w:hAnsi="Arial"/>
          <w:b w:val="0"/>
          <w:i w:val="0"/>
          <w:color w:val="182630"/>
          <w:sz w:val="21"/>
        </w:rPr>
        <w:t>Contratar una consultoría de 14 semanas para definir el modelo objetivo de SIAEM, probar un caso de uso con agentes gobernados y entregar una decisión de adopción, ajuste o descarte sustentada en evidencia. El DCCAE conserva autoridad, datos, veredictos y aprobación de cualquier cambio.</w:t>
      </w:r>
    </w:p>
    <w:p>
      <w:pPr>
        <w:pStyle w:val="Heading1"/>
      </w:pPr>
      <w:r>
        <w:t>Problema y oportunidad</w:t>
      </w:r>
    </w:p>
    <w:tbl>
      <w:tblPr>
        <w:tblW w:type="auto" w:w="0"/>
        <w:jc w:val="center"/>
        <w:tblLayout w:type="fixed"/>
        <w:tblLook w:firstColumn="1" w:firstRow="1" w:lastColumn="0" w:lastRow="0" w:noHBand="0" w:noVBand="1" w:val="04A0"/>
      </w:tblPr>
      <w:tblGrid>
        <w:gridCol w:w="5040"/>
        <w:gridCol w:w="5040"/>
      </w:tblGrid>
      <w:tr>
        <w:trPr>
          <w:tblHeader w:val="true"/>
        </w:trPr>
        <w:tc>
          <w:tcPr>
            <w:tcW w:type="dxa" w:w="4320"/>
            <w:shd w:fill="132A3A"/>
            <w:tcMar>
              <w:top w:w="105" w:type="dxa"/>
              <w:start w:w="120" w:type="dxa"/>
              <w:bottom w:w="105"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i w:val="0"/>
                <w:color w:val="FFFFFF"/>
                <w:sz w:val="18"/>
              </w:rPr>
              <w:t>Situación</w:t>
            </w:r>
          </w:p>
        </w:tc>
        <w:tc>
          <w:tcPr>
            <w:tcW w:type="dxa" w:w="5472"/>
            <w:shd w:fill="132A3A"/>
            <w:tcMar>
              <w:top w:w="105" w:type="dxa"/>
              <w:start w:w="120" w:type="dxa"/>
              <w:bottom w:w="105"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i w:val="0"/>
                <w:color w:val="FFFFFF"/>
                <w:sz w:val="18"/>
              </w:rPr>
              <w:t>Respuesta de la consultoría</w:t>
            </w:r>
          </w:p>
        </w:tc>
      </w:tr>
      <w:tr>
        <w:tc>
          <w:tcPr>
            <w:tcW w:type="dxa" w:w="4320"/>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8"/>
              </w:rPr>
              <w:t>Históricos, fuentes e integraciones pueden producir inconsistencias y reprocesos</w:t>
            </w:r>
          </w:p>
        </w:tc>
        <w:tc>
          <w:tcPr>
            <w:tcW w:type="dxa" w:w="5472"/>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8"/>
              </w:rPr>
              <w:t>Línea base, reconciliación controlada y trazabilidad extremo a extremo</w:t>
            </w:r>
          </w:p>
        </w:tc>
      </w:tr>
      <w:tr>
        <w:tc>
          <w:tcPr>
            <w:tcW w:type="dxa" w:w="4320"/>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8"/>
              </w:rPr>
              <w:t>La operación tecnológica no puede confundirse con la autoridad militar</w:t>
            </w:r>
          </w:p>
        </w:tc>
        <w:tc>
          <w:tcPr>
            <w:tcW w:type="dxa" w:w="5472"/>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8"/>
              </w:rPr>
              <w:t>Separación contractual entre autoridad, operación, analítica y auditoría</w:t>
            </w:r>
          </w:p>
        </w:tc>
      </w:tr>
      <w:tr>
        <w:tc>
          <w:tcPr>
            <w:tcW w:type="dxa" w:w="4320"/>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8"/>
              </w:rPr>
              <w:t>La modernización exige seguridad, continuidad y evidencia</w:t>
            </w:r>
          </w:p>
        </w:tc>
        <w:tc>
          <w:tcPr>
            <w:tcW w:type="dxa" w:w="5472"/>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8"/>
              </w:rPr>
              <w:t>Piloto medible con controles, recuperación, revisión humana y salida reversible</w:t>
            </w:r>
          </w:p>
        </w:tc>
      </w:tr>
    </w:tbl>
    <w:p>
      <w:pPr>
        <w:spacing w:after="0"/>
      </w:pPr>
    </w:p>
    <w:p>
      <w:pPr>
        <w:pStyle w:val="Heading1"/>
      </w:pPr>
      <w:r>
        <w:t>Tesis</w:t>
      </w:r>
    </w:p>
    <w:p>
      <w:pPr>
        <w:spacing w:after="140"/>
      </w:pPr>
      <w:r>
        <w:rPr>
          <w:rFonts w:ascii="Arial" w:hAnsi="Arial"/>
          <w:b w:val="0"/>
          <w:i w:val="0"/>
          <w:color w:val="182630"/>
          <w:sz w:val="21"/>
        </w:rPr>
        <w:t>El DCCAE puede aprovechar lecciones públicas del RUNT y activos internos de FALCONE sin trasladar competencias soberanas ni adoptar un operador predeterminado. La primera decisión no es qué tecnología comprar, sino qué problema resolver, con qué evidencia y bajo qué gobierno.</w:t>
      </w:r>
    </w:p>
    <w:p>
      <w:r>
        <w:br w:type="page"/>
      </w:r>
    </w:p>
    <w:p>
      <w:pPr>
        <w:spacing w:before="60" w:after="160"/>
      </w:pPr>
      <w:r>
        <w:rPr>
          <w:rFonts w:ascii="Arial" w:hAnsi="Arial"/>
          <w:b/>
          <w:i w:val="0"/>
          <w:color w:val="147D78"/>
          <w:sz w:val="17"/>
        </w:rPr>
        <w:t>ENCAJE INSTITUCIONAL Y CAPACIDAD</w:t>
      </w:r>
    </w:p>
    <w:p>
      <w:pPr>
        <w:pStyle w:val="Heading1"/>
      </w:pPr>
      <w:r>
        <w:t>Tres aportes que no deben confundirse</w:t>
      </w:r>
    </w:p>
    <w:tbl>
      <w:tblPr>
        <w:tblW w:type="auto" w:w="0"/>
        <w:jc w:val="center"/>
        <w:tblLayout w:type="fixed"/>
        <w:tblLook w:firstColumn="1" w:firstRow="1" w:lastColumn="0" w:lastRow="0" w:noHBand="0" w:noVBand="1" w:val="04A0"/>
      </w:tblPr>
      <w:tblGrid>
        <w:gridCol w:w="3360"/>
        <w:gridCol w:w="3360"/>
        <w:gridCol w:w="3360"/>
      </w:tblGrid>
      <w:tr>
        <w:trPr>
          <w:tblHeader w:val="true"/>
        </w:trPr>
        <w:tc>
          <w:tcPr>
            <w:tcW w:type="dxa" w:w="3240"/>
            <w:shd w:fill="132A3A"/>
            <w:tcMar>
              <w:top w:w="105" w:type="dxa"/>
              <w:start w:w="120" w:type="dxa"/>
              <w:bottom w:w="105"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i w:val="0"/>
                <w:color w:val="FFFFFF"/>
                <w:sz w:val="16"/>
              </w:rPr>
              <w:t>DCCAE</w:t>
            </w:r>
          </w:p>
        </w:tc>
        <w:tc>
          <w:tcPr>
            <w:tcW w:type="dxa" w:w="3384"/>
            <w:shd w:fill="132A3A"/>
            <w:tcMar>
              <w:top w:w="105" w:type="dxa"/>
              <w:start w:w="120" w:type="dxa"/>
              <w:bottom w:w="105"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i w:val="0"/>
                <w:color w:val="FFFFFF"/>
                <w:sz w:val="16"/>
              </w:rPr>
              <w:t>Modelo público RUNT</w:t>
            </w:r>
          </w:p>
        </w:tc>
        <w:tc>
          <w:tcPr>
            <w:tcW w:type="dxa" w:w="3168"/>
            <w:shd w:fill="132A3A"/>
            <w:tcMar>
              <w:top w:w="105" w:type="dxa"/>
              <w:start w:w="120" w:type="dxa"/>
              <w:bottom w:w="105"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i w:val="0"/>
                <w:color w:val="FFFFFF"/>
                <w:sz w:val="16"/>
              </w:rPr>
              <w:t>FALCONE</w:t>
            </w:r>
          </w:p>
        </w:tc>
      </w:tr>
      <w:tr>
        <w:tc>
          <w:tcPr>
            <w:tcW w:type="dxa" w:w="3240"/>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Autoridad, reglas, excepciones y decisiones</w:t>
            </w:r>
          </w:p>
        </w:tc>
        <w:tc>
          <w:tcPr>
            <w:tcW w:type="dxa" w:w="3384"/>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Operación de registro nacional, interoperabilidad, niveles de servicio y continuidad</w:t>
            </w:r>
          </w:p>
        </w:tc>
        <w:tc>
          <w:tcPr>
            <w:tcW w:type="dxa" w:w="3168"/>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Gobierno de fuentes, agentes, analítica explicable y memoria de decisiones</w:t>
            </w:r>
          </w:p>
        </w:tc>
      </w:tr>
      <w:tr>
        <w:tc>
          <w:tcPr>
            <w:tcW w:type="dxa" w:w="3240"/>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Custodia y clasificación de información sensible</w:t>
            </w:r>
          </w:p>
        </w:tc>
        <w:tc>
          <w:tcPr>
            <w:tcW w:type="dxa" w:w="3384"/>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Separación entre encargado tecnológico y autoridades que reportan o modifican</w:t>
            </w:r>
          </w:p>
        </w:tc>
        <w:tc>
          <w:tcPr>
            <w:tcW w:type="dxa" w:w="3168"/>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Trazabilidad, detección de anomalías y priorización para revisión humana</w:t>
            </w:r>
          </w:p>
        </w:tc>
      </w:tr>
    </w:tbl>
    <w:p>
      <w:pPr>
        <w:spacing w:after="0"/>
      </w:pPr>
    </w:p>
    <w:p>
      <w:pPr>
        <w:pStyle w:val="Heading1"/>
      </w:pPr>
      <w:r>
        <w:t>Agentes FALCONE para adaptar</w:t>
      </w:r>
    </w:p>
    <w:tbl>
      <w:tblPr>
        <w:tblW w:type="auto" w:w="0"/>
        <w:jc w:val="center"/>
        <w:tblLayout w:type="fixed"/>
        <w:tblLook w:firstColumn="1" w:firstRow="1" w:lastColumn="0" w:lastRow="0" w:noHBand="0" w:noVBand="1" w:val="04A0"/>
      </w:tblPr>
      <w:tblGrid>
        <w:gridCol w:w="3360"/>
        <w:gridCol w:w="3360"/>
        <w:gridCol w:w="3360"/>
      </w:tblGrid>
      <w:tr>
        <w:trPr>
          <w:tblHeader w:val="true"/>
        </w:trPr>
        <w:tc>
          <w:tcPr>
            <w:tcW w:type="dxa" w:w="1800"/>
            <w:shd w:fill="132A3A"/>
            <w:tcMar>
              <w:top w:w="105" w:type="dxa"/>
              <w:start w:w="120" w:type="dxa"/>
              <w:bottom w:w="105"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i w:val="0"/>
                <w:color w:val="FFFFFF"/>
                <w:sz w:val="17"/>
              </w:rPr>
              <w:t>Agente</w:t>
            </w:r>
          </w:p>
        </w:tc>
        <w:tc>
          <w:tcPr>
            <w:tcW w:type="dxa" w:w="4680"/>
            <w:shd w:fill="132A3A"/>
            <w:tcMar>
              <w:top w:w="105" w:type="dxa"/>
              <w:start w:w="120" w:type="dxa"/>
              <w:bottom w:w="105"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i w:val="0"/>
                <w:color w:val="FFFFFF"/>
                <w:sz w:val="17"/>
              </w:rPr>
              <w:t>Función</w:t>
            </w:r>
          </w:p>
        </w:tc>
        <w:tc>
          <w:tcPr>
            <w:tcW w:type="dxa" w:w="3311"/>
            <w:shd w:fill="132A3A"/>
            <w:tcMar>
              <w:top w:w="105" w:type="dxa"/>
              <w:start w:w="120" w:type="dxa"/>
              <w:bottom w:w="105"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i w:val="0"/>
                <w:color w:val="FFFFFF"/>
                <w:sz w:val="17"/>
              </w:rPr>
              <w:t>Límite</w:t>
            </w:r>
          </w:p>
        </w:tc>
      </w:tr>
      <w:tr>
        <w:tc>
          <w:tcPr>
            <w:tcW w:type="dxa" w:w="1800"/>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7"/>
              </w:rPr>
              <w:t>Ingestor</w:t>
            </w:r>
          </w:p>
        </w:tc>
        <w:tc>
          <w:tcPr>
            <w:tcW w:type="dxa" w:w="4680"/>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7"/>
              </w:rPr>
              <w:t>Verifica fuente, corte, integridad y cambios</w:t>
            </w:r>
          </w:p>
        </w:tc>
        <w:tc>
          <w:tcPr>
            <w:tcW w:type="dxa" w:w="3311"/>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7"/>
              </w:rPr>
              <w:t>No modifica el dato oficial</w:t>
            </w:r>
          </w:p>
        </w:tc>
      </w:tr>
      <w:tr>
        <w:tc>
          <w:tcPr>
            <w:tcW w:type="dxa" w:w="1800"/>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7"/>
              </w:rPr>
              <w:t>Operador</w:t>
            </w:r>
          </w:p>
        </w:tc>
        <w:tc>
          <w:tcPr>
            <w:tcW w:type="dxa" w:w="4680"/>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7"/>
              </w:rPr>
              <w:t>Orquesta productos, pruebas, catálogo y alertas</w:t>
            </w:r>
          </w:p>
        </w:tc>
        <w:tc>
          <w:tcPr>
            <w:tcW w:type="dxa" w:w="3311"/>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7"/>
              </w:rPr>
              <w:t>No decide veredictos</w:t>
            </w:r>
          </w:p>
        </w:tc>
      </w:tr>
      <w:tr>
        <w:tc>
          <w:tcPr>
            <w:tcW w:type="dxa" w:w="1800"/>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7"/>
              </w:rPr>
              <w:t>Cronista</w:t>
            </w:r>
          </w:p>
        </w:tc>
        <w:tc>
          <w:tcPr>
            <w:tcW w:type="dxa" w:w="4680"/>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7"/>
              </w:rPr>
              <w:t>Conserva reglas, decisiones y evidencia</w:t>
            </w:r>
          </w:p>
        </w:tc>
        <w:tc>
          <w:tcPr>
            <w:tcW w:type="dxa" w:w="3311"/>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7"/>
              </w:rPr>
              <w:t>No relaja controles</w:t>
            </w:r>
          </w:p>
        </w:tc>
      </w:tr>
      <w:tr>
        <w:tc>
          <w:tcPr>
            <w:tcW w:type="dxa" w:w="1800"/>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7"/>
              </w:rPr>
              <w:t>Documentador</w:t>
            </w:r>
          </w:p>
        </w:tc>
        <w:tc>
          <w:tcPr>
            <w:tcW w:type="dxa" w:w="4680"/>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7"/>
              </w:rPr>
              <w:t>Mantiene diccionarios, manifiestos y aprendizajes</w:t>
            </w:r>
          </w:p>
        </w:tc>
        <w:tc>
          <w:tcPr>
            <w:tcW w:type="dxa" w:w="3311"/>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7"/>
              </w:rPr>
              <w:t>No publica datos sensibles</w:t>
            </w:r>
          </w:p>
        </w:tc>
      </w:tr>
    </w:tbl>
    <w:p>
      <w:pPr>
        <w:spacing w:after="0"/>
      </w:pPr>
    </w:p>
    <w:p>
      <w:pPr>
        <w:pStyle w:val="Heading1"/>
      </w:pPr>
      <w:r>
        <w:t>Evidencia y madurez</w:t>
      </w:r>
    </w:p>
    <w:p>
      <w:pPr>
        <w:pStyle w:val="ListBullet"/>
        <w:spacing w:after="60"/>
        <w:ind w:left="317" w:hanging="202"/>
      </w:pPr>
      <w:r>
        <w:rPr>
          <w:rFonts w:ascii="Arial" w:hAnsi="Arial"/>
          <w:b w:val="0"/>
          <w:i w:val="0"/>
          <w:color w:val="182630"/>
          <w:sz w:val="20"/>
        </w:rPr>
        <w:t>Lago FALCONE: 120 fuentes documentadas y 110 con manifiesto al corte interno del 02-10-2026.</w:t>
      </w:r>
    </w:p>
    <w:p>
      <w:pPr>
        <w:pStyle w:val="ListBullet"/>
        <w:spacing w:after="60"/>
        <w:ind w:left="317" w:hanging="202"/>
      </w:pPr>
      <w:r>
        <w:rPr>
          <w:rFonts w:ascii="Arial" w:hAnsi="Arial"/>
          <w:b w:val="0"/>
          <w:i w:val="0"/>
          <w:color w:val="182630"/>
          <w:sz w:val="20"/>
        </w:rPr>
        <w:t>Resolución de identidad, anomalías, score, grafo y geovisor existen como motores o demostradores internos.</w:t>
      </w:r>
    </w:p>
    <w:p>
      <w:pPr>
        <w:pStyle w:val="ListBullet"/>
        <w:spacing w:after="60"/>
        <w:ind w:left="317" w:hanging="202"/>
      </w:pPr>
      <w:r>
        <w:rPr>
          <w:rFonts w:ascii="Arial" w:hAnsi="Arial"/>
          <w:b w:val="0"/>
          <w:i w:val="0"/>
          <w:color w:val="182630"/>
          <w:sz w:val="20"/>
        </w:rPr>
        <w:t>Ningún activo está certificado para producción SIAEM: cada uno requiere brecha, adaptación, seguridad y prueba con muestra autorizada.</w:t>
      </w:r>
    </w:p>
    <w:p>
      <w:pPr>
        <w:pStyle w:val="ListBullet"/>
        <w:spacing w:after="60"/>
        <w:ind w:left="317" w:hanging="202"/>
      </w:pPr>
      <w:r>
        <w:rPr>
          <w:rFonts w:ascii="Arial" w:hAnsi="Arial"/>
          <w:b w:val="0"/>
          <w:i w:val="0"/>
          <w:color w:val="182630"/>
          <w:sz w:val="20"/>
        </w:rPr>
        <w:t>La participación directa del equipo en el RUNT no se presume; se usan documentos y lecciones de su modelo público.</w:t>
      </w:r>
    </w:p>
    <w:p>
      <w:r>
        <w:br w:type="page"/>
      </w:r>
    </w:p>
    <w:p>
      <w:pPr>
        <w:spacing w:before="60" w:after="160"/>
      </w:pPr>
      <w:r>
        <w:rPr>
          <w:rFonts w:ascii="Arial" w:hAnsi="Arial"/>
          <w:b/>
          <w:i w:val="0"/>
          <w:color w:val="147D78"/>
          <w:sz w:val="17"/>
        </w:rPr>
        <w:t>MODELO OBJETIVO</w:t>
      </w:r>
    </w:p>
    <w:p>
      <w:pPr>
        <w:pStyle w:val="Heading1"/>
      </w:pPr>
      <w:r>
        <w:t>Separar autoridad operación analítica y auditoría</w:t>
      </w:r>
    </w:p>
    <w:tbl>
      <w:tblPr>
        <w:tblW w:type="auto" w:w="0"/>
        <w:jc w:val="center"/>
        <w:tblLayout w:type="fixed"/>
        <w:tblLook w:firstColumn="1" w:firstRow="1" w:lastColumn="0" w:lastRow="0" w:noHBand="0" w:noVBand="1" w:val="04A0"/>
      </w:tblPr>
      <w:tblGrid>
        <w:gridCol w:w="3360"/>
        <w:gridCol w:w="3360"/>
        <w:gridCol w:w="3360"/>
      </w:tblGrid>
      <w:tr>
        <w:trPr>
          <w:tblHeader w:val="true"/>
        </w:trPr>
        <w:tc>
          <w:tcPr>
            <w:tcW w:type="dxa" w:w="1655"/>
            <w:shd w:fill="132A3A"/>
            <w:tcMar>
              <w:top w:w="105" w:type="dxa"/>
              <w:start w:w="120" w:type="dxa"/>
              <w:bottom w:w="105"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i w:val="0"/>
                <w:color w:val="FFFFFF"/>
                <w:sz w:val="17"/>
              </w:rPr>
              <w:t>Capa</w:t>
            </w:r>
          </w:p>
        </w:tc>
        <w:tc>
          <w:tcPr>
            <w:tcW w:type="dxa" w:w="2232"/>
            <w:shd w:fill="132A3A"/>
            <w:tcMar>
              <w:top w:w="105" w:type="dxa"/>
              <w:start w:w="120" w:type="dxa"/>
              <w:bottom w:w="105"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i w:val="0"/>
                <w:color w:val="FFFFFF"/>
                <w:sz w:val="17"/>
              </w:rPr>
              <w:t>Responsable</w:t>
            </w:r>
          </w:p>
        </w:tc>
        <w:tc>
          <w:tcPr>
            <w:tcW w:type="dxa" w:w="5903"/>
            <w:shd w:fill="132A3A"/>
            <w:tcMar>
              <w:top w:w="105" w:type="dxa"/>
              <w:start w:w="120" w:type="dxa"/>
              <w:bottom w:w="105"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i w:val="0"/>
                <w:color w:val="FFFFFF"/>
                <w:sz w:val="17"/>
              </w:rPr>
              <w:t>Contenido</w:t>
            </w:r>
          </w:p>
        </w:tc>
      </w:tr>
      <w:tr>
        <w:tc>
          <w:tcPr>
            <w:tcW w:type="dxa" w:w="1655"/>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7"/>
              </w:rPr>
              <w:t>Autoridad</w:t>
            </w:r>
          </w:p>
        </w:tc>
        <w:tc>
          <w:tcPr>
            <w:tcW w:type="dxa" w:w="2232"/>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7"/>
              </w:rPr>
              <w:t>DCCAE</w:t>
            </w:r>
          </w:p>
        </w:tc>
        <w:tc>
          <w:tcPr>
            <w:tcW w:type="dxa" w:w="5903"/>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7"/>
              </w:rPr>
              <w:t>Política, autorizaciones, restricciones, excepciones y sanción</w:t>
            </w:r>
          </w:p>
        </w:tc>
      </w:tr>
      <w:tr>
        <w:tc>
          <w:tcPr>
            <w:tcW w:type="dxa" w:w="1655"/>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7"/>
              </w:rPr>
              <w:t>Operación</w:t>
            </w:r>
          </w:p>
        </w:tc>
        <w:tc>
          <w:tcPr>
            <w:tcW w:type="dxa" w:w="2232"/>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7"/>
              </w:rPr>
              <w:t>Operador contratado</w:t>
            </w:r>
          </w:p>
        </w:tc>
        <w:tc>
          <w:tcPr>
            <w:tcW w:type="dxa" w:w="5903"/>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7"/>
              </w:rPr>
              <w:t>Canales, expedientes, soporte, integraciones, continuidad y SLA</w:t>
            </w:r>
          </w:p>
        </w:tc>
      </w:tr>
      <w:tr>
        <w:tc>
          <w:tcPr>
            <w:tcW w:type="dxa" w:w="1655"/>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7"/>
              </w:rPr>
              <w:t>Analítica</w:t>
            </w:r>
          </w:p>
        </w:tc>
        <w:tc>
          <w:tcPr>
            <w:tcW w:type="dxa" w:w="2232"/>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7"/>
              </w:rPr>
              <w:t>Equipo mixto</w:t>
            </w:r>
          </w:p>
        </w:tc>
        <w:tc>
          <w:tcPr>
            <w:tcW w:type="dxa" w:w="5903"/>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7"/>
              </w:rPr>
              <w:t>Candidatos, alertas explicables y medición; nunca decisión automática</w:t>
            </w:r>
          </w:p>
        </w:tc>
      </w:tr>
      <w:tr>
        <w:tc>
          <w:tcPr>
            <w:tcW w:type="dxa" w:w="1655"/>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7"/>
              </w:rPr>
              <w:t>Auditoría</w:t>
            </w:r>
          </w:p>
        </w:tc>
        <w:tc>
          <w:tcPr>
            <w:tcW w:type="dxa" w:w="2232"/>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7"/>
              </w:rPr>
              <w:t>Control independiente</w:t>
            </w:r>
          </w:p>
        </w:tc>
        <w:tc>
          <w:tcPr>
            <w:tcW w:type="dxa" w:w="5903"/>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7"/>
              </w:rPr>
              <w:t>Evidencia, privilegios, desempeño, incidentes e incentivos</w:t>
            </w:r>
          </w:p>
        </w:tc>
      </w:tr>
    </w:tbl>
    <w:p>
      <w:pPr>
        <w:spacing w:after="0"/>
      </w:pPr>
    </w:p>
    <w:p>
      <w:pPr>
        <w:pStyle w:val="Heading1"/>
      </w:pPr>
      <w:r>
        <w:t>Trazabilidad y blockchain con criterio</w:t>
      </w:r>
    </w:p>
    <w:p>
      <w:pPr>
        <w:spacing w:after="140"/>
      </w:pPr>
      <w:r>
        <w:rPr>
          <w:rFonts w:ascii="Arial" w:hAnsi="Arial"/>
          <w:b w:val="0"/>
          <w:i w:val="0"/>
          <w:color w:val="182630"/>
          <w:sz w:val="21"/>
        </w:rPr>
        <w:t>Cada evento debe registrar fuente, corte, actor, regla, versión, motivo, sello de tiempo y decisión. Se comparará una bitácora inmutable convencional con un libro distribuido permisionado. Blockchain solo procede si varias entidades necesitan verificar el mismo evento y aporta más valor que costo y complejidad.</w:t>
      </w:r>
    </w:p>
    <w:p>
      <w:pPr>
        <w:pStyle w:val="ListBullet"/>
        <w:spacing w:after="60"/>
        <w:ind w:left="317" w:hanging="202"/>
      </w:pPr>
      <w:r>
        <w:rPr>
          <w:rFonts w:ascii="Arial" w:hAnsi="Arial"/>
          <w:b w:val="0"/>
          <w:i w:val="0"/>
          <w:color w:val="182630"/>
          <w:sz w:val="20"/>
        </w:rPr>
        <w:t>La cadena nunca almacena personas, armas, antecedentes ni documentos: solo hashes, firmas, sellos e identificadores técnicos.</w:t>
      </w:r>
    </w:p>
    <w:p>
      <w:pPr>
        <w:pStyle w:val="ListBullet"/>
        <w:spacing w:after="60"/>
        <w:ind w:left="317" w:hanging="202"/>
      </w:pPr>
      <w:r>
        <w:rPr>
          <w:rFonts w:ascii="Arial" w:hAnsi="Arial"/>
          <w:b w:val="0"/>
          <w:i w:val="0"/>
          <w:color w:val="182630"/>
          <w:sz w:val="20"/>
        </w:rPr>
        <w:t>Debe existir gobierno de nodos, rotación y revocación de llaves, rectificación del dato fuente y plan de salida.</w:t>
      </w:r>
    </w:p>
    <w:p>
      <w:pPr>
        <w:pStyle w:val="ListBullet"/>
        <w:spacing w:after="60"/>
        <w:ind w:left="317" w:hanging="202"/>
      </w:pPr>
      <w:r>
        <w:rPr>
          <w:rFonts w:ascii="Arial" w:hAnsi="Arial"/>
          <w:b w:val="0"/>
          <w:i w:val="0"/>
          <w:color w:val="182630"/>
          <w:sz w:val="20"/>
        </w:rPr>
        <w:t>Se descarta si expone metadatos, dificulta la corrección legal o no mejora una auditoría firmada tradicional.</w:t>
      </w:r>
    </w:p>
    <w:p>
      <w:pPr>
        <w:pStyle w:val="Heading1"/>
      </w:pPr>
      <w:r>
        <w:t>Incentivos y transparencia</w:t>
      </w:r>
    </w:p>
    <w:p>
      <w:pPr>
        <w:spacing w:after="140"/>
      </w:pPr>
      <w:r>
        <w:rPr>
          <w:rFonts w:ascii="Arial" w:hAnsi="Arial"/>
          <w:b w:val="0"/>
          <w:i w:val="0"/>
          <w:color w:val="182630"/>
          <w:sz w:val="21"/>
        </w:rPr>
        <w:t>La remuneración se vincula a disponibilidad, calidad, evidencia, solución y recuperación; nunca al número de permisos aprobados, negados o alertas generadas. Falsos positivos evitables, reincidencia, indisponibilidad y fallas de auditoría reducen desempeño. La ciudadanía ve estado y causas de devolución; supervisores y auditores acceden a evidencia según rol; la información reservada permanece protegida.</w:t>
      </w:r>
    </w:p>
    <w:p>
      <w:r>
        <w:br w:type="page"/>
      </w:r>
    </w:p>
    <w:p>
      <w:pPr>
        <w:spacing w:before="60" w:after="160"/>
      </w:pPr>
      <w:r>
        <w:rPr>
          <w:rFonts w:ascii="Arial" w:hAnsi="Arial"/>
          <w:b/>
          <w:i w:val="0"/>
          <w:color w:val="147D78"/>
          <w:sz w:val="17"/>
        </w:rPr>
        <w:t>CASO DE USO Y PILOTO</w:t>
      </w:r>
    </w:p>
    <w:p>
      <w:pPr>
        <w:pStyle w:val="Heading1"/>
      </w:pPr>
      <w:r>
        <w:t>Reconciliación y control de históricos SIAEM</w:t>
      </w:r>
    </w:p>
    <w:tbl>
      <w:tblPr>
        <w:tblW w:type="auto" w:w="0"/>
        <w:jc w:val="center"/>
        <w:tblLayout w:type="fixed"/>
        <w:tblLook w:firstColumn="1" w:firstRow="1" w:lastColumn="0" w:lastRow="0" w:noHBand="0" w:noVBand="1" w:val="04A0"/>
      </w:tblPr>
      <w:tblGrid>
        <w:gridCol w:w="3360"/>
        <w:gridCol w:w="3360"/>
        <w:gridCol w:w="3360"/>
      </w:tblGrid>
      <w:tr>
        <w:trPr>
          <w:tblHeader w:val="true"/>
        </w:trPr>
        <w:tc>
          <w:tcPr>
            <w:tcW w:type="dxa" w:w="2880"/>
            <w:shd w:fill="132A3A"/>
            <w:tcMar>
              <w:top w:w="105" w:type="dxa"/>
              <w:start w:w="120" w:type="dxa"/>
              <w:bottom w:w="105"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i w:val="0"/>
                <w:color w:val="FFFFFF"/>
                <w:sz w:val="16"/>
              </w:rPr>
              <w:t>Paso</w:t>
            </w:r>
          </w:p>
        </w:tc>
        <w:tc>
          <w:tcPr>
            <w:tcW w:type="dxa" w:w="2448"/>
            <w:shd w:fill="132A3A"/>
            <w:tcMar>
              <w:top w:w="105" w:type="dxa"/>
              <w:start w:w="120" w:type="dxa"/>
              <w:bottom w:w="105"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i w:val="0"/>
                <w:color w:val="FFFFFF"/>
                <w:sz w:val="16"/>
              </w:rPr>
              <w:t>Responsable</w:t>
            </w:r>
          </w:p>
        </w:tc>
        <w:tc>
          <w:tcPr>
            <w:tcW w:type="dxa" w:w="4464"/>
            <w:shd w:fill="132A3A"/>
            <w:tcMar>
              <w:top w:w="105" w:type="dxa"/>
              <w:start w:w="120" w:type="dxa"/>
              <w:bottom w:w="105"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i w:val="0"/>
                <w:color w:val="FFFFFF"/>
                <w:sz w:val="16"/>
              </w:rPr>
              <w:t>Evidencia</w:t>
            </w:r>
          </w:p>
        </w:tc>
      </w:tr>
      <w:tr>
        <w:tc>
          <w:tcPr>
            <w:tcW w:type="dxa" w:w="2880"/>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Autorizar muestra y finalidad</w:t>
            </w:r>
          </w:p>
        </w:tc>
        <w:tc>
          <w:tcPr>
            <w:tcW w:type="dxa" w:w="2448"/>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DCCAE</w:t>
            </w:r>
          </w:p>
        </w:tc>
        <w:tc>
          <w:tcPr>
            <w:tcW w:type="dxa" w:w="4464"/>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Campos mínimos, custodio, periodo y base de acceso</w:t>
            </w:r>
          </w:p>
        </w:tc>
      </w:tr>
      <w:tr>
        <w:tc>
          <w:tcPr>
            <w:tcW w:type="dxa" w:w="2880"/>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Ingerir copias controladas</w:t>
            </w:r>
          </w:p>
        </w:tc>
        <w:tc>
          <w:tcPr>
            <w:tcW w:type="dxa" w:w="2448"/>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Ingestor</w:t>
            </w:r>
          </w:p>
        </w:tc>
        <w:tc>
          <w:tcPr>
            <w:tcW w:type="dxa" w:w="4464"/>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Hash, origen, corte, diccionario y acceso</w:t>
            </w:r>
          </w:p>
        </w:tc>
      </w:tr>
      <w:tr>
        <w:tc>
          <w:tcPr>
            <w:tcW w:type="dxa" w:w="2880"/>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Ejecutar reglas</w:t>
            </w:r>
          </w:p>
        </w:tc>
        <w:tc>
          <w:tcPr>
            <w:tcW w:type="dxa" w:w="2448"/>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Motores</w:t>
            </w:r>
          </w:p>
        </w:tc>
        <w:tc>
          <w:tcPr>
            <w:tcW w:type="dxa" w:w="4464"/>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Versión, resultado reproducible y explicación</w:t>
            </w:r>
          </w:p>
        </w:tc>
      </w:tr>
      <w:tr>
        <w:tc>
          <w:tcPr>
            <w:tcW w:type="dxa" w:w="2880"/>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Priorizar candidatos</w:t>
            </w:r>
          </w:p>
        </w:tc>
        <w:tc>
          <w:tcPr>
            <w:tcW w:type="dxa" w:w="2448"/>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Operador</w:t>
            </w:r>
          </w:p>
        </w:tc>
        <w:tc>
          <w:tcPr>
            <w:tcW w:type="dxa" w:w="4464"/>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Cola de revisión sin alterar la fuente</w:t>
            </w:r>
          </w:p>
        </w:tc>
      </w:tr>
      <w:tr>
        <w:tc>
          <w:tcPr>
            <w:tcW w:type="dxa" w:w="2880"/>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Revisar y decidir</w:t>
            </w:r>
          </w:p>
        </w:tc>
        <w:tc>
          <w:tcPr>
            <w:tcW w:type="dxa" w:w="2448"/>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Analista y autoridad</w:t>
            </w:r>
          </w:p>
        </w:tc>
        <w:tc>
          <w:tcPr>
            <w:tcW w:type="dxa" w:w="4464"/>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Aceptación, rechazo, motivo, autor y fecha</w:t>
            </w:r>
          </w:p>
        </w:tc>
      </w:tr>
      <w:tr>
        <w:tc>
          <w:tcPr>
            <w:tcW w:type="dxa" w:w="2880"/>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Preservar memoria</w:t>
            </w:r>
          </w:p>
        </w:tc>
        <w:tc>
          <w:tcPr>
            <w:tcW w:type="dxa" w:w="2448"/>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Cronista y documentador</w:t>
            </w:r>
          </w:p>
        </w:tc>
        <w:tc>
          <w:tcPr>
            <w:tcW w:type="dxa" w:w="4464"/>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Bitácora, métricas, cambios y límites</w:t>
            </w:r>
          </w:p>
        </w:tc>
      </w:tr>
    </w:tbl>
    <w:p>
      <w:pPr>
        <w:spacing w:after="0"/>
      </w:pPr>
    </w:p>
    <w:p>
      <w:pPr>
        <w:pStyle w:val="Heading1"/>
      </w:pPr>
      <w:r>
        <w:t>Piloto gobernado de ocho semanas</w:t>
      </w:r>
    </w:p>
    <w:p>
      <w:pPr>
        <w:spacing w:after="140"/>
      </w:pPr>
      <w:r>
        <w:rPr>
          <w:rFonts w:ascii="Arial" w:hAnsi="Arial"/>
          <w:b w:val="0"/>
          <w:i w:val="0"/>
          <w:color w:val="182630"/>
          <w:sz w:val="21"/>
        </w:rPr>
        <w:t>Un caso de uso, una muestra controlada y máximo tres fuentes, ejecutados en infraestructura aprobada por el DCCAE. El piloto se detiene ante acceso no autorizado, pérdida de trazabilidad, uso fuera de finalidad, error sistemático no explicable o riesgo para un trámite real.</w:t>
      </w:r>
    </w:p>
    <w:p>
      <w:pPr>
        <w:pStyle w:val="Heading1"/>
      </w:pPr>
      <w:r>
        <w:t>Criterios de éxito</w:t>
      </w:r>
    </w:p>
    <w:p>
      <w:pPr>
        <w:pStyle w:val="ListBullet"/>
        <w:spacing w:after="60"/>
        <w:ind w:left="317" w:hanging="202"/>
      </w:pPr>
      <w:r>
        <w:rPr>
          <w:rFonts w:ascii="Arial" w:hAnsi="Arial"/>
          <w:b w:val="0"/>
          <w:i w:val="0"/>
          <w:color w:val="182630"/>
          <w:sz w:val="20"/>
        </w:rPr>
        <w:t>100 % de alertas con fuente, regla, versión, evidencia y responsable de revisión.</w:t>
      </w:r>
    </w:p>
    <w:p>
      <w:pPr>
        <w:pStyle w:val="ListBullet"/>
        <w:spacing w:after="60"/>
        <w:ind w:left="317" w:hanging="202"/>
      </w:pPr>
      <w:r>
        <w:rPr>
          <w:rFonts w:ascii="Arial" w:hAnsi="Arial"/>
          <w:b w:val="0"/>
          <w:i w:val="0"/>
          <w:color w:val="182630"/>
          <w:sz w:val="20"/>
        </w:rPr>
        <w:t>100 % de decisiones humanas y 0 transferencias fuera del entorno autorizado.</w:t>
      </w:r>
    </w:p>
    <w:p>
      <w:pPr>
        <w:pStyle w:val="ListBullet"/>
        <w:spacing w:after="60"/>
        <w:ind w:left="317" w:hanging="202"/>
      </w:pPr>
      <w:r>
        <w:rPr>
          <w:rFonts w:ascii="Arial" w:hAnsi="Arial"/>
          <w:b w:val="0"/>
          <w:i w:val="0"/>
          <w:color w:val="182630"/>
          <w:sz w:val="20"/>
        </w:rPr>
        <w:t>100 % de la muestra auditada reconstruible desde fuente hasta decisión.</w:t>
      </w:r>
    </w:p>
    <w:p>
      <w:pPr>
        <w:pStyle w:val="ListBullet"/>
        <w:spacing w:after="60"/>
        <w:ind w:left="317" w:hanging="202"/>
      </w:pPr>
      <w:r>
        <w:rPr>
          <w:rFonts w:ascii="Arial" w:hAnsi="Arial"/>
          <w:b w:val="0"/>
          <w:i w:val="0"/>
          <w:color w:val="182630"/>
          <w:sz w:val="20"/>
        </w:rPr>
        <w:t>Precisión, falsos positivos, tiempo de ciclo y reproceso comparados con línea base de semanas 2 a 4.</w:t>
      </w:r>
    </w:p>
    <w:p>
      <w:pPr>
        <w:pStyle w:val="ListBullet"/>
        <w:spacing w:after="60"/>
        <w:ind w:left="317" w:hanging="202"/>
      </w:pPr>
      <w:r>
        <w:rPr>
          <w:rFonts w:ascii="Arial" w:hAnsi="Arial"/>
          <w:b w:val="0"/>
          <w:i w:val="0"/>
          <w:color w:val="182630"/>
          <w:sz w:val="20"/>
        </w:rPr>
        <w:t>Resultado por activo: adoptar, ajustar o descartar, con costo, riesgo y evidencia.</w:t>
      </w:r>
    </w:p>
    <w:p>
      <w:r>
        <w:br w:type="page"/>
      </w:r>
    </w:p>
    <w:p>
      <w:pPr>
        <w:spacing w:before="60" w:after="160"/>
      </w:pPr>
      <w:r>
        <w:rPr>
          <w:rFonts w:ascii="Arial" w:hAnsi="Arial"/>
          <w:b/>
          <w:i w:val="0"/>
          <w:color w:val="147D78"/>
          <w:sz w:val="17"/>
        </w:rPr>
        <w:t>CIBERSEGURIDAD Y PRIVACIDAD</w:t>
      </w:r>
    </w:p>
    <w:p>
      <w:pPr>
        <w:pStyle w:val="Heading1"/>
      </w:pPr>
      <w:r>
        <w:t>Marco colombiano obligatorio y referencia internacional</w:t>
      </w:r>
    </w:p>
    <w:p>
      <w:pPr>
        <w:spacing w:after="140"/>
      </w:pPr>
      <w:r>
        <w:rPr>
          <w:rFonts w:ascii="Arial" w:hAnsi="Arial"/>
          <w:b w:val="0"/>
          <w:i w:val="0"/>
          <w:color w:val="182630"/>
          <w:sz w:val="21"/>
        </w:rPr>
        <w:t>La arquitectura se alinea primero con el MSPI actualizado por la Resolución MinTIC 2277 de 2025, basado en ISO/IEC 27001:2022, y con el Decreto 338 de 2022 sobre gobernanza, riesgo, infraestructura crítica y respuesta a incidentes. NIST CSF 2.0 y NIST SP 800-207 complementan el diseño; no sustituyen las obligaciones nacionales.</w:t>
      </w:r>
    </w:p>
    <w:tbl>
      <w:tblPr>
        <w:tblW w:type="auto" w:w="0"/>
        <w:jc w:val="center"/>
        <w:tblLayout w:type="fixed"/>
        <w:tblLook w:firstColumn="1" w:firstRow="1" w:lastColumn="0" w:lastRow="0" w:noHBand="0" w:noVBand="1" w:val="04A0"/>
      </w:tblPr>
      <w:tblGrid>
        <w:gridCol w:w="5040"/>
        <w:gridCol w:w="5040"/>
      </w:tblGrid>
      <w:tr>
        <w:trPr>
          <w:tblHeader w:val="true"/>
        </w:trPr>
        <w:tc>
          <w:tcPr>
            <w:tcW w:type="dxa" w:w="1728"/>
            <w:shd w:fill="132A3A"/>
            <w:tcMar>
              <w:top w:w="105" w:type="dxa"/>
              <w:start w:w="120" w:type="dxa"/>
              <w:bottom w:w="105"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i w:val="0"/>
                <w:color w:val="FFFFFF"/>
                <w:sz w:val="16"/>
              </w:rPr>
              <w:t>Dominio</w:t>
            </w:r>
          </w:p>
        </w:tc>
        <w:tc>
          <w:tcPr>
            <w:tcW w:type="dxa" w:w="8063"/>
            <w:shd w:fill="132A3A"/>
            <w:tcMar>
              <w:top w:w="105" w:type="dxa"/>
              <w:start w:w="120" w:type="dxa"/>
              <w:bottom w:w="105"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i w:val="0"/>
                <w:color w:val="FFFFFF"/>
                <w:sz w:val="16"/>
              </w:rPr>
              <w:t>Producto y prueba</w:t>
            </w:r>
          </w:p>
        </w:tc>
      </w:tr>
      <w:tr>
        <w:tc>
          <w:tcPr>
            <w:tcW w:type="dxa" w:w="1728"/>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Gobernar</w:t>
            </w:r>
          </w:p>
        </w:tc>
        <w:tc>
          <w:tcPr>
            <w:tcW w:type="dxa" w:w="8063"/>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Perfil MSPI actual/objetivo, roles, riesgo, proveedores, datos y aprobación directiva</w:t>
            </w:r>
          </w:p>
        </w:tc>
      </w:tr>
      <w:tr>
        <w:tc>
          <w:tcPr>
            <w:tcW w:type="dxa" w:w="1728"/>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Identificar</w:t>
            </w:r>
          </w:p>
        </w:tc>
        <w:tc>
          <w:tcPr>
            <w:tcW w:type="dxa" w:w="8063"/>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Inventario y clasificación de activos, BIA, dependencias, amenazas y criticidad</w:t>
            </w:r>
          </w:p>
        </w:tc>
      </w:tr>
      <w:tr>
        <w:tc>
          <w:tcPr>
            <w:tcW w:type="dxa" w:w="1728"/>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Proteger</w:t>
            </w:r>
          </w:p>
        </w:tc>
        <w:tc>
          <w:tcPr>
            <w:tcW w:type="dxa" w:w="8063"/>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Confianza cero, MFA, PAM, mínimo privilegio, cifrado, llaves, segmentación y desarrollo seguro</w:t>
            </w:r>
          </w:p>
        </w:tc>
      </w:tr>
      <w:tr>
        <w:tc>
          <w:tcPr>
            <w:tcW w:type="dxa" w:w="1728"/>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Detectar</w:t>
            </w:r>
          </w:p>
        </w:tc>
        <w:tc>
          <w:tcPr>
            <w:tcW w:type="dxa" w:w="8063"/>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Logs íntegros, SIEM/SOC, casos de uso, alertas, sincronización de tiempo y evidencia digital</w:t>
            </w:r>
          </w:p>
        </w:tc>
      </w:tr>
      <w:tr>
        <w:tc>
          <w:tcPr>
            <w:tcW w:type="dxa" w:w="1728"/>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Responder</w:t>
            </w:r>
          </w:p>
        </w:tc>
        <w:tc>
          <w:tcPr>
            <w:tcW w:type="dxa" w:w="8063"/>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Plan probado, responsables, preservación de evidencia y reporte a CSIRT Gobierno/COLCERT cuando aplique</w:t>
            </w:r>
          </w:p>
        </w:tc>
      </w:tr>
      <w:tr>
        <w:tc>
          <w:tcPr>
            <w:tcW w:type="dxa" w:w="1728"/>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Recuperar</w:t>
            </w:r>
          </w:p>
        </w:tc>
        <w:tc>
          <w:tcPr>
            <w:tcW w:type="dxa" w:w="8063"/>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RTO/RPO por servicio, respaldos aislados, restauración probada, continuidad y comunicación</w:t>
            </w:r>
          </w:p>
        </w:tc>
      </w:tr>
    </w:tbl>
    <w:p>
      <w:pPr>
        <w:spacing w:after="0"/>
      </w:pPr>
    </w:p>
    <w:p>
      <w:pPr>
        <w:pStyle w:val="Heading1"/>
      </w:pPr>
      <w:r>
        <w:t>Controles de aceptación</w:t>
      </w:r>
    </w:p>
    <w:p>
      <w:pPr>
        <w:pStyle w:val="ListBullet"/>
        <w:spacing w:after="60"/>
        <w:ind w:left="317" w:hanging="202"/>
      </w:pPr>
      <w:r>
        <w:rPr>
          <w:rFonts w:ascii="Arial" w:hAnsi="Arial"/>
          <w:b w:val="0"/>
          <w:i w:val="0"/>
          <w:color w:val="182630"/>
          <w:sz w:val="20"/>
        </w:rPr>
        <w:t>Pruebas de penetración y remediación; vulnerabilidades y parches con tiempos acordados.</w:t>
      </w:r>
    </w:p>
    <w:p>
      <w:pPr>
        <w:pStyle w:val="ListBullet"/>
        <w:spacing w:after="60"/>
        <w:ind w:left="317" w:hanging="202"/>
      </w:pPr>
      <w:r>
        <w:rPr>
          <w:rFonts w:ascii="Arial" w:hAnsi="Arial"/>
          <w:b w:val="0"/>
          <w:i w:val="0"/>
          <w:color w:val="182630"/>
          <w:sz w:val="20"/>
        </w:rPr>
        <w:t>SBOM, evaluación de proveedores, componentes firmados y control de cadena de suministro.</w:t>
      </w:r>
    </w:p>
    <w:p>
      <w:pPr>
        <w:pStyle w:val="ListBullet"/>
        <w:spacing w:after="60"/>
        <w:ind w:left="317" w:hanging="202"/>
      </w:pPr>
      <w:r>
        <w:rPr>
          <w:rFonts w:ascii="Arial" w:hAnsi="Arial"/>
          <w:b w:val="0"/>
          <w:i w:val="0"/>
          <w:color w:val="182630"/>
          <w:sz w:val="20"/>
        </w:rPr>
        <w:t>Revisión periódica de privilegios, simulacro de incidente y evidencia de restauración.</w:t>
      </w:r>
    </w:p>
    <w:p>
      <w:pPr>
        <w:pStyle w:val="ListBullet"/>
        <w:spacing w:after="60"/>
        <w:ind w:left="317" w:hanging="202"/>
      </w:pPr>
      <w:r>
        <w:rPr>
          <w:rFonts w:ascii="Arial" w:hAnsi="Arial"/>
          <w:b w:val="0"/>
          <w:i w:val="0"/>
          <w:color w:val="182630"/>
          <w:sz w:val="20"/>
        </w:rPr>
        <w:t>Clasificación de información y matriz de transparencia por ciudadano, analista, supervisor, auditor y público.</w:t>
      </w:r>
    </w:p>
    <w:p>
      <w:r>
        <w:br w:type="page"/>
      </w:r>
    </w:p>
    <w:p>
      <w:pPr>
        <w:spacing w:before="60" w:after="160"/>
      </w:pPr>
      <w:r>
        <w:rPr>
          <w:rFonts w:ascii="Arial" w:hAnsi="Arial"/>
          <w:b/>
          <w:i w:val="0"/>
          <w:color w:val="147D78"/>
          <w:sz w:val="17"/>
        </w:rPr>
        <w:t>OFERTA Y SIGUIENTE DECISIÓN</w:t>
      </w:r>
    </w:p>
    <w:p>
      <w:pPr>
        <w:pStyle w:val="Heading1"/>
      </w:pPr>
      <w:r>
        <w:t>Catorce semanas sujetas al encuadre inicial</w:t>
      </w:r>
    </w:p>
    <w:tbl>
      <w:tblPr>
        <w:tblW w:type="auto" w:w="0"/>
        <w:jc w:val="center"/>
        <w:tblLayout w:type="fixed"/>
        <w:tblLook w:firstColumn="1" w:firstRow="1" w:lastColumn="0" w:lastRow="0" w:noHBand="0" w:noVBand="1" w:val="04A0"/>
      </w:tblPr>
      <w:tblGrid>
        <w:gridCol w:w="3360"/>
        <w:gridCol w:w="3360"/>
        <w:gridCol w:w="3360"/>
      </w:tblGrid>
      <w:tr>
        <w:trPr>
          <w:tblHeader w:val="true"/>
        </w:trPr>
        <w:tc>
          <w:tcPr>
            <w:tcW w:type="dxa" w:w="1944"/>
            <w:shd w:fill="132A3A"/>
            <w:tcMar>
              <w:top w:w="105" w:type="dxa"/>
              <w:start w:w="120" w:type="dxa"/>
              <w:bottom w:w="105"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i w:val="0"/>
                <w:color w:val="FFFFFF"/>
                <w:sz w:val="16"/>
              </w:rPr>
              <w:t>Etapa</w:t>
            </w:r>
          </w:p>
        </w:tc>
        <w:tc>
          <w:tcPr>
            <w:tcW w:type="dxa" w:w="1296"/>
            <w:shd w:fill="132A3A"/>
            <w:tcMar>
              <w:top w:w="105" w:type="dxa"/>
              <w:start w:w="120" w:type="dxa"/>
              <w:bottom w:w="105"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i w:val="0"/>
                <w:color w:val="FFFFFF"/>
                <w:sz w:val="16"/>
              </w:rPr>
              <w:t>Semanas</w:t>
            </w:r>
          </w:p>
        </w:tc>
        <w:tc>
          <w:tcPr>
            <w:tcW w:type="dxa" w:w="6552"/>
            <w:shd w:fill="132A3A"/>
            <w:tcMar>
              <w:top w:w="105" w:type="dxa"/>
              <w:start w:w="120" w:type="dxa"/>
              <w:bottom w:w="105"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i w:val="0"/>
                <w:color w:val="FFFFFF"/>
                <w:sz w:val="16"/>
              </w:rPr>
              <w:t>Resultado</w:t>
            </w:r>
          </w:p>
        </w:tc>
      </w:tr>
      <w:tr>
        <w:tc>
          <w:tcPr>
            <w:tcW w:type="dxa" w:w="1944"/>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Inicio</w:t>
            </w:r>
          </w:p>
        </w:tc>
        <w:tc>
          <w:tcPr>
            <w:tcW w:type="dxa" w:w="1296"/>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1</w:t>
            </w:r>
          </w:p>
        </w:tc>
        <w:tc>
          <w:tcPr>
            <w:tcW w:type="dxa" w:w="6552"/>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Mandato, confidencialidad, equipo, accesos y alcance</w:t>
            </w:r>
          </w:p>
        </w:tc>
      </w:tr>
      <w:tr>
        <w:tc>
          <w:tcPr>
            <w:tcW w:type="dxa" w:w="1944"/>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Diagnóstico</w:t>
            </w:r>
          </w:p>
        </w:tc>
        <w:tc>
          <w:tcPr>
            <w:tcW w:type="dxa" w:w="1296"/>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2 a 4</w:t>
            </w:r>
          </w:p>
        </w:tc>
        <w:tc>
          <w:tcPr>
            <w:tcW w:type="dxa" w:w="6552"/>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Línea base, MSPI, procesos, datos, contratos y riesgos</w:t>
            </w:r>
          </w:p>
        </w:tc>
      </w:tr>
      <w:tr>
        <w:tc>
          <w:tcPr>
            <w:tcW w:type="dxa" w:w="1944"/>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Diseño y piloto</w:t>
            </w:r>
          </w:p>
        </w:tc>
        <w:tc>
          <w:tcPr>
            <w:tcW w:type="dxa" w:w="1296"/>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5 a 8</w:t>
            </w:r>
          </w:p>
        </w:tc>
        <w:tc>
          <w:tcPr>
            <w:tcW w:type="dxa" w:w="6552"/>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Arquitectura, reglas, seguridad y ejecución controlada</w:t>
            </w:r>
          </w:p>
        </w:tc>
      </w:tr>
      <w:tr>
        <w:tc>
          <w:tcPr>
            <w:tcW w:type="dxa" w:w="1944"/>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Evaluación</w:t>
            </w:r>
          </w:p>
        </w:tc>
        <w:tc>
          <w:tcPr>
            <w:tcW w:type="dxa" w:w="1296"/>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9 a 12</w:t>
            </w:r>
          </w:p>
        </w:tc>
        <w:tc>
          <w:tcPr>
            <w:tcW w:type="dxa" w:w="6552"/>
            <w:shd w:fill="EDF3F6"/>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Precisión, impacto, costos, incentivos, continuidad y reversibilidad</w:t>
            </w:r>
          </w:p>
        </w:tc>
      </w:tr>
      <w:tr>
        <w:tc>
          <w:tcPr>
            <w:tcW w:type="dxa" w:w="1944"/>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Decisión</w:t>
            </w:r>
          </w:p>
        </w:tc>
        <w:tc>
          <w:tcPr>
            <w:tcW w:type="dxa" w:w="1296"/>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13 a 14</w:t>
            </w:r>
          </w:p>
        </w:tc>
        <w:tc>
          <w:tcPr>
            <w:tcW w:type="dxa" w:w="6552"/>
            <w:shd w:fill="FFFFFF"/>
            <w:tcMar>
              <w:top w:w="100" w:type="dxa"/>
              <w:start w:w="120" w:type="dxa"/>
              <w:bottom w:w="100" w:type="dxa"/>
              <w:end w:w="120" w:type="dxa"/>
            </w:tcMar>
            <w:tcBorders>
              <w:top w:val="single" w:sz="5" w:color="D9E0E4"/>
              <w:left w:val="single" w:sz="5" w:color="D9E0E4"/>
              <w:bottom w:val="single" w:sz="5" w:color="D9E0E4"/>
              <w:right w:val="single" w:sz="5" w:color="D9E0E4"/>
              <w:insideH w:val="single" w:sz="5" w:color="D9E0E4"/>
              <w:insideV w:val="single" w:sz="5" w:color="D9E0E4"/>
            </w:tcBorders>
            <w:vAlign w:val="center"/>
          </w:tcPr>
          <w:p>
            <w:pPr>
              <w:spacing w:after="0"/>
            </w:pPr>
            <w:r>
              <w:rPr>
                <w:rFonts w:ascii="Arial" w:hAnsi="Arial"/>
                <w:b w:val="0"/>
                <w:i w:val="0"/>
                <w:color w:val="182630"/>
                <w:sz w:val="16"/>
              </w:rPr>
              <w:t>Caso económico, hoja de transición y anexo técnico</w:t>
            </w:r>
          </w:p>
        </w:tc>
      </w:tr>
    </w:tbl>
    <w:p>
      <w:pPr>
        <w:spacing w:after="0"/>
      </w:pPr>
    </w:p>
    <w:p>
      <w:pPr>
        <w:pStyle w:val="Heading1"/>
      </w:pPr>
      <w:r>
        <w:t>Productos y frontera comercial</w:t>
      </w:r>
    </w:p>
    <w:p>
      <w:pPr>
        <w:spacing w:after="140"/>
      </w:pPr>
      <w:r>
        <w:rPr>
          <w:rFonts w:ascii="Arial" w:hAnsi="Arial"/>
          <w:b w:val="0"/>
          <w:i w:val="0"/>
          <w:color w:val="182630"/>
          <w:sz w:val="21"/>
        </w:rPr>
        <w:t>Se entregan diagnóstico ejecutivo, modelo operativo, arquitectura y seguridad, expediente del piloto, métricas, caso económico, transición y anexo técnico. Equipo mínimo: dirección institucional, procesos, datos, seguridad y privacidad, analítica, proyecto y calidad. No incluye operación productiva, concepto jurídico, certificación, depuración masiva, infraestructura ni migración definitiva. Diagnóstico y diseño se cotizan a precio fijo; el piloto se contrata con criterios de aceptación. Propiedad intelectual y licencias se acuerdan expresamente.</w:t>
      </w:r>
    </w:p>
    <w:p>
      <w:pPr>
        <w:pStyle w:val="Heading1"/>
      </w:pPr>
      <w:r>
        <w:t>Siguiente paso</w:t>
      </w:r>
    </w:p>
    <w:p>
      <w:pPr>
        <w:spacing w:after="140"/>
      </w:pPr>
      <w:r>
        <w:rPr>
          <w:rFonts w:ascii="Arial" w:hAnsi="Arial"/>
          <w:b w:val="0"/>
          <w:i w:val="0"/>
          <w:color w:val="182630"/>
          <w:sz w:val="21"/>
        </w:rPr>
        <w:t>Reunión de encuadre de noventa minutos con patrocinador, proceso, tecnología, seguridad, jurídico y protección de datos para confirmar el problema prioritario, accesos, clasificación, línea base y decisión esperada. Con esa información se presenta alcance y propuesta económica cerrados.</w:t>
      </w:r>
    </w:p>
    <w:p>
      <w:pPr>
        <w:pStyle w:val="Heading1"/>
      </w:pPr>
      <w:r>
        <w:t>Fuentes oficiales y límites</w:t>
      </w:r>
    </w:p>
    <w:p>
      <w:pPr>
        <w:spacing w:after="60"/>
      </w:pPr>
      <w:r>
        <w:rPr>
          <w:rFonts w:ascii="Arial" w:hAnsi="Arial"/>
          <w:b w:val="0"/>
          <w:i w:val="0"/>
          <w:color w:val="182630"/>
          <w:sz w:val="21"/>
        </w:rPr>
        <w:t>Información pública e interna consultada al 20 de octubre de 2026. No se revisaron arquitectura, incidentes, contratos ni datos reservados de SIAEM. El documento no constituye concepto jurídico, certificación de seguridad ni oferta económica cerrada.</w:t>
      </w:r>
    </w:p>
    <w:p>
      <w:pPr>
        <w:spacing w:after="80"/>
      </w:pPr>
      <w:r>
        <w:rPr>
          <w:rFonts w:ascii="Arial" w:hAnsi="Arial"/>
          <w:b w:val="0"/>
          <w:i w:val="0"/>
          <w:color w:val="182630"/>
          <w:sz w:val="17"/>
        </w:rPr>
        <w:t xml:space="preserve">DCCAE  Misión funciones y SIAEM </w:t>
      </w:r>
      <w:hyperlink r:id="rId12">
        <w:r>
          <w:rPr>
            <w:color w:val="147D78"/>
            <w:u w:val="single"/>
          </w:rPr>
          <w:t>Abrir fuente</w:t>
        </w:r>
      </w:hyperlink>
    </w:p>
    <w:p>
      <w:pPr>
        <w:spacing w:after="80"/>
      </w:pPr>
      <w:r>
        <w:rPr>
          <w:rFonts w:ascii="Arial" w:hAnsi="Arial"/>
          <w:b w:val="0"/>
          <w:i w:val="0"/>
          <w:color w:val="182630"/>
          <w:sz w:val="17"/>
        </w:rPr>
        <w:t xml:space="preserve">Función Pública  Ley 1453 de 2011 </w:t>
      </w:r>
      <w:hyperlink r:id="rId13">
        <w:r>
          <w:rPr>
            <w:color w:val="147D78"/>
            <w:u w:val="single"/>
          </w:rPr>
          <w:t>Abrir fuente</w:t>
        </w:r>
      </w:hyperlink>
    </w:p>
    <w:p>
      <w:pPr>
        <w:spacing w:after="80"/>
      </w:pPr>
      <w:r>
        <w:rPr>
          <w:rFonts w:ascii="Arial" w:hAnsi="Arial"/>
          <w:b w:val="0"/>
          <w:i w:val="0"/>
          <w:color w:val="182630"/>
          <w:sz w:val="17"/>
        </w:rPr>
        <w:t xml:space="preserve">RUNT  Política y Contrato 604 de 2022 </w:t>
      </w:r>
      <w:hyperlink r:id="rId14">
        <w:r>
          <w:rPr>
            <w:color w:val="147D78"/>
            <w:u w:val="single"/>
          </w:rPr>
          <w:t>Abrir fuente</w:t>
        </w:r>
      </w:hyperlink>
    </w:p>
    <w:p>
      <w:pPr>
        <w:spacing w:after="80"/>
      </w:pPr>
      <w:r>
        <w:rPr>
          <w:rFonts w:ascii="Arial" w:hAnsi="Arial"/>
          <w:b w:val="0"/>
          <w:i w:val="0"/>
          <w:color w:val="182630"/>
          <w:sz w:val="17"/>
        </w:rPr>
        <w:t xml:space="preserve">MinTIC  MSPI actualizado Resolución 2277 de 2025 </w:t>
      </w:r>
      <w:hyperlink r:id="rId15">
        <w:r>
          <w:rPr>
            <w:color w:val="147D78"/>
            <w:u w:val="single"/>
          </w:rPr>
          <w:t>Abrir fuente</w:t>
        </w:r>
      </w:hyperlink>
    </w:p>
    <w:p>
      <w:pPr>
        <w:spacing w:after="80"/>
      </w:pPr>
      <w:r>
        <w:rPr>
          <w:rFonts w:ascii="Arial" w:hAnsi="Arial"/>
          <w:b w:val="0"/>
          <w:i w:val="0"/>
          <w:color w:val="182630"/>
          <w:sz w:val="17"/>
        </w:rPr>
        <w:t xml:space="preserve">Función Pública  Decreto 338 de 2022 </w:t>
      </w:r>
      <w:hyperlink r:id="rId16">
        <w:r>
          <w:rPr>
            <w:color w:val="147D78"/>
            <w:u w:val="single"/>
          </w:rPr>
          <w:t>Abrir fuente</w:t>
        </w:r>
      </w:hyperlink>
    </w:p>
    <w:p>
      <w:pPr>
        <w:spacing w:after="80"/>
      </w:pPr>
      <w:r>
        <w:rPr>
          <w:rFonts w:ascii="Arial" w:hAnsi="Arial"/>
          <w:b w:val="0"/>
          <w:i w:val="0"/>
          <w:color w:val="182630"/>
          <w:sz w:val="17"/>
        </w:rPr>
        <w:t xml:space="preserve">MinTIC  Guía blockchain para el Estado </w:t>
      </w:r>
      <w:hyperlink r:id="rId17">
        <w:r>
          <w:rPr>
            <w:color w:val="147D78"/>
            <w:u w:val="single"/>
          </w:rPr>
          <w:t>Abrir fuente</w:t>
        </w:r>
      </w:hyperlink>
    </w:p>
    <w:sectPr w:rsidR="00FC693F" w:rsidRPr="0006063C" w:rsidSect="00034616">
      <w:headerReference w:type="default" r:id="rId9"/>
      <w:footerReference w:type="default" r:id="rId10"/>
      <w:footerReference w:type="even" r:id="rId11"/>
      <w:pgSz w:w="12240" w:h="15840"/>
      <w:pgMar w:top="936" w:right="1080" w:bottom="936" w:left="1080"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b w:val="0"/>
        <w:i w:val="0"/>
        <w:color w:val="5F6E78"/>
        <w:sz w:val="16"/>
      </w:rPr>
      <w:t xml:space="preserve">Documento de conversación inicial  |  20 de octubre de 2026  |  </w:t>
    </w:r>
    <w:r>
      <w:rPr>
        <w:rFonts w:ascii="Arial" w:hAnsi="Arial"/>
        <w:b w:val="0"/>
        <w:i w:val="0"/>
        <w:color w:val="5F6E78"/>
        <w:sz w:val="17"/>
      </w:rP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b w:val="0"/>
        <w:i w:val="0"/>
        <w:color w:val="5F6E78"/>
        <w:sz w:val="17"/>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i w:val="0"/>
        <w:color w:val="147D78"/>
        <w:sz w:val="17"/>
      </w:rPr>
      <w:t>FALCONE  |  PROPUESTA PARA DCCAE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1826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182630"/>
      <w:sz w:val="3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b/>
      <w:bCs/>
      <w:color w:val="18263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rial" w:hAnsi="Arial"/>
      <w:b/>
      <w:color w:val="18263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s://www.controlarmas.mil.co/preguntas-frecuentes/" TargetMode="External"/><Relationship Id="rId13" Type="http://schemas.openxmlformats.org/officeDocument/2006/relationships/hyperlink" Target="https://www.funcionpublica.gov.co/eva/gestornormativo/norma_pdf.php?i=43202" TargetMode="External"/><Relationship Id="rId14" Type="http://schemas.openxmlformats.org/officeDocument/2006/relationships/hyperlink" Target="https://terminos.runt.gov.co/" TargetMode="External"/><Relationship Id="rId15" Type="http://schemas.openxmlformats.org/officeDocument/2006/relationships/hyperlink" Target="https://www.mintic.gov.co/portal/715/w3-article-403045.html" TargetMode="External"/><Relationship Id="rId16" Type="http://schemas.openxmlformats.org/officeDocument/2006/relationships/hyperlink" Target="https://www.funcionpublica.gov.co/eva/gestornormativo/norma.php/norma.php?i=181866" TargetMode="External"/><Relationship Id="rId17" Type="http://schemas.openxmlformats.org/officeDocument/2006/relationships/hyperlink" Target="https://mintic.gov.co/portal/715/articles-210798_Actualizacion_Guia_de_Referencia_Blockchain_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Modernización inteligente de SIAEM y los servicios del DCCAE</dc:title>
  <dc:subject>Propuesta ejecutiva de seis páginas para diagnóstico, arquitectura y piloto gobernado</dc:subject>
  <dc:creator>FALCONE</dc:creator>
  <cp:keywords>DCCAE, SIAEM, FALCONE, RUNT, MSPI, Decreto 338, blockchain, trazabilidad, incentivos, ciberseguridad</cp:keywords>
  <dc:description>generated by python-docx</dc:description>
  <cp:lastModifiedBy/>
  <cp:revision>1</cp:revision>
  <dcterms:created xsi:type="dcterms:W3CDTF">2013-12-23T23:15:00Z</dcterms:created>
  <dcterms:modified xsi:type="dcterms:W3CDTF">2013-12-23T23:15:00Z</dcterms:modified>
  <cp:category/>
</cp:coreProperties>
</file>